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761D5">
      <w:p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>冻存细胞收货后处理方法:</w:t>
      </w:r>
    </w:p>
    <w:p w14:paraId="6860F148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收到细胞后，首先观察泡沫箱中干冰是否有剩余，冻存管是否完好，是否有解冻情况。若发现干冰完全汽化或冻存管有解冻现象，请及时拍照并与我们联系。如果细胞签收三天内未与我们联系，则默认为收货良好。</w:t>
      </w:r>
    </w:p>
    <w:p w14:paraId="6A154D3E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细胞在液氮中可长期保存；-80 ℃保存不要超过一个月，长期在-80 ℃可能会导致细胞活率下降。 </w:t>
      </w:r>
    </w:p>
    <w:p w14:paraId="4E41278D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复苏第一管细胞后，如有活性、状态问题及时与我们联系。</w:t>
      </w:r>
    </w:p>
    <w:p w14:paraId="349738DF">
      <w:pPr>
        <w:spacing w:after="120" w:line="360" w:lineRule="exact"/>
        <w:jc w:val="center"/>
        <w:rPr>
          <w:rFonts w:hint="eastAsia" w:ascii="Times New Roman" w:hAnsi="Times New Roman" w:eastAsia="宋体" w:cs="Times New Roman"/>
          <w:b/>
          <w:bCs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>HUVEC (人脐静脉内皮细胞)细胞说明书</w:t>
      </w:r>
    </w:p>
    <w:p w14:paraId="286D8506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细胞背景</w:t>
      </w:r>
    </w:p>
    <w:p w14:paraId="4A13C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exact"/>
        <w:ind w:firstLine="440" w:firstLineChars="200"/>
        <w:textAlignment w:val="auto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人脐静脉内皮细胞分离自脐带组织；它是脐静脉的重要结构组成细胞之一，在机体的正常生理过程中发挥着重要作用。脐带是哺乳类的连接胎儿和胎盘的管状结构，脐带中通过尿膜的血管即脐动脉和脐静脉，卵黄囊的血管即脐肠系膜动脉及脐肠系膜静脉。在子宫中，子宫动脉在胎盘的母体部分出的毛细血管，与胎盘的子体部胎儿毛细血管靠近，在此处母体和胎儿的血液间进行CO₂和O₂，代谢产物即代谢废物和营养物质的交换。脐动脉将胎儿产生的废物运送至胎盘，脐静脉将O₂和营养物质从胎盘运送给胎儿。</w:t>
      </w:r>
    </w:p>
    <w:p w14:paraId="4DE01CCE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细胞信息</w:t>
      </w:r>
    </w:p>
    <w:p w14:paraId="29BDFB61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细胞名称：</w:t>
      </w:r>
      <w:r>
        <w:rPr>
          <w:rFonts w:hint="eastAsia" w:ascii="Times New Roman" w:hAnsi="Times New Roman" w:eastAsia="宋体" w:cs="Times New Roman"/>
          <w:lang w:val="en-US" w:eastAsia="zh-CN"/>
        </w:rPr>
        <w:t>HUVEC (人脐静脉内皮细胞)</w:t>
      </w:r>
      <w:r>
        <w:rPr>
          <w:rFonts w:hint="eastAsia" w:ascii="Times New Roman" w:hAnsi="Times New Roman" w:eastAsia="宋体" w:cs="Times New Roman"/>
        </w:rPr>
        <w:t>(STR鉴定正确)</w:t>
      </w:r>
    </w:p>
    <w:p w14:paraId="4F19073F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细胞别称：HUVECs</w:t>
      </w:r>
    </w:p>
    <w:p w14:paraId="78618B55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种属：</w:t>
      </w:r>
      <w:r>
        <w:rPr>
          <w:rFonts w:hint="eastAsia" w:ascii="Times New Roman" w:hAnsi="Times New Roman" w:eastAsia="宋体" w:cs="Times New Roman"/>
          <w:lang w:val="en-US" w:eastAsia="zh-CN"/>
        </w:rPr>
        <w:t>人</w:t>
      </w:r>
    </w:p>
    <w:p w14:paraId="512B2693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形态特性：</w:t>
      </w:r>
      <w:r>
        <w:rPr>
          <w:rFonts w:hint="eastAsia" w:ascii="Times New Roman" w:hAnsi="Times New Roman" w:eastAsia="宋体" w:cs="Times New Roman"/>
          <w:lang w:val="en-US" w:eastAsia="zh-CN"/>
        </w:rPr>
        <w:t>内皮细胞样</w:t>
      </w:r>
    </w:p>
    <w:p w14:paraId="251ABBA2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生长特性：</w:t>
      </w:r>
      <w:r>
        <w:rPr>
          <w:rFonts w:hint="eastAsia" w:ascii="Times New Roman" w:hAnsi="Times New Roman" w:eastAsia="宋体" w:cs="Times New Roman"/>
          <w:lang w:val="en-US" w:eastAsia="zh-CN"/>
        </w:rPr>
        <w:t>贴壁细胞</w:t>
      </w:r>
    </w:p>
    <w:p w14:paraId="1F0DF61B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组织来源：</w:t>
      </w:r>
      <w:r>
        <w:rPr>
          <w:rFonts w:hint="eastAsia" w:ascii="Times New Roman" w:hAnsi="Times New Roman" w:eastAsia="宋体" w:cs="Times New Roman"/>
          <w:lang w:val="en-US" w:eastAsia="zh-CN"/>
        </w:rPr>
        <w:t>脐带组织</w:t>
      </w:r>
    </w:p>
    <w:p w14:paraId="60A11BAE">
      <w:pPr>
        <w:spacing w:after="120" w:line="360" w:lineRule="exact"/>
        <w:rPr>
          <w:rFonts w:ascii="Times New Roman" w:hAnsi="Times New Roman" w:eastAsia="宋体" w:cs="Times New Roman"/>
          <w:kern w:val="2"/>
          <w:sz w:val="22"/>
          <w:szCs w:val="24"/>
          <w:lang w:val="en-US" w:eastAsia="zh-CN" w:bidi="ar-SA"/>
          <w14:ligatures w14:val="standardContextual"/>
        </w:rPr>
      </w:pPr>
      <w:r>
        <w:rPr>
          <w:rFonts w:ascii="Times New Roman" w:hAnsi="Times New Roman" w:eastAsia="宋体" w:cs="Times New Roman"/>
          <w:kern w:val="2"/>
          <w:sz w:val="22"/>
          <w:szCs w:val="24"/>
          <w:lang w:val="en-US" w:eastAsia="zh-CN" w:bidi="ar-SA"/>
          <w14:ligatures w14:val="standardContextual"/>
        </w:rPr>
        <w:t>培养条件</w:t>
      </w:r>
    </w:p>
    <w:p w14:paraId="329196B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  <w:kern w:val="2"/>
          <w:sz w:val="22"/>
          <w:szCs w:val="24"/>
          <w:lang w:val="en-US" w:eastAsia="zh-CN" w:bidi="ar-SA"/>
          <w14:ligatures w14:val="standardContextual"/>
        </w:rPr>
      </w:pPr>
      <w:r>
        <w:rPr>
          <w:rFonts w:ascii="Times New Roman" w:hAnsi="Times New Roman" w:eastAsia="宋体" w:cs="Times New Roman"/>
          <w:kern w:val="2"/>
          <w:sz w:val="22"/>
          <w:szCs w:val="24"/>
          <w:lang w:val="en-US" w:eastAsia="zh-CN" w:bidi="ar-SA"/>
          <w14:ligatures w14:val="standardContextual"/>
        </w:rPr>
        <w:t>培养基：</w:t>
      </w:r>
      <w:r>
        <w:rPr>
          <w:rFonts w:hint="eastAsia" w:ascii="Times New Roman" w:hAnsi="Times New Roman" w:eastAsia="宋体" w:cs="Times New Roman"/>
          <w:kern w:val="2"/>
          <w:sz w:val="22"/>
          <w:szCs w:val="24"/>
          <w:lang w:val="en-US" w:eastAsia="zh-CN" w:bidi="ar-SA"/>
          <w14:ligatures w14:val="standardContextual"/>
        </w:rPr>
        <w:t>人脐静脉内皮细胞专用培养基(含FBS,生长添加剂，penicillin,streptomicin)</w:t>
      </w:r>
    </w:p>
    <w:p w14:paraId="21040116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  <w:kern w:val="2"/>
          <w:sz w:val="22"/>
          <w:szCs w:val="24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宋体" w:cs="Times New Roman"/>
          <w:kern w:val="2"/>
          <w:sz w:val="22"/>
          <w:szCs w:val="24"/>
          <w:lang w:val="en-US" w:eastAsia="zh-CN" w:bidi="ar-SA"/>
          <w14:ligatures w14:val="standardContextual"/>
        </w:rPr>
        <w:t>包被条件：PLL（0.1mg/ml）或明胶（0.1%）</w:t>
      </w:r>
    </w:p>
    <w:p w14:paraId="371B4160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  <w:kern w:val="2"/>
          <w:sz w:val="22"/>
          <w:szCs w:val="24"/>
          <w:lang w:val="en-US" w:eastAsia="zh-CN" w:bidi="ar-SA"/>
          <w14:ligatures w14:val="standardContextual"/>
        </w:rPr>
      </w:pPr>
      <w:r>
        <w:rPr>
          <w:rFonts w:ascii="Times New Roman" w:hAnsi="Times New Roman" w:eastAsia="宋体" w:cs="Times New Roman"/>
          <w:kern w:val="2"/>
          <w:sz w:val="22"/>
          <w:szCs w:val="24"/>
          <w:lang w:val="en-US" w:eastAsia="zh-CN" w:bidi="ar-SA"/>
          <w14:ligatures w14:val="standardContextual"/>
        </w:rPr>
        <w:t>培养温度：37℃</w:t>
      </w:r>
    </w:p>
    <w:p w14:paraId="2BA7E03C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  <w:kern w:val="2"/>
          <w:sz w:val="22"/>
          <w:szCs w:val="24"/>
          <w:lang w:val="en-US" w:eastAsia="zh-CN" w:bidi="ar-SA"/>
          <w14:ligatures w14:val="standardContextual"/>
        </w:rPr>
      </w:pPr>
      <w:r>
        <w:rPr>
          <w:rFonts w:ascii="Times New Roman" w:hAnsi="Times New Roman" w:eastAsia="宋体" w:cs="Times New Roman"/>
          <w:kern w:val="2"/>
          <w:sz w:val="22"/>
          <w:szCs w:val="24"/>
          <w:lang w:val="en-US" w:eastAsia="zh-CN" w:bidi="ar-SA"/>
          <w14:ligatures w14:val="standardContextual"/>
        </w:rPr>
        <w:t>气体环境：95%空气，5%CO₂</w:t>
      </w:r>
    </w:p>
    <w:p w14:paraId="625227E6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  <w:kern w:val="2"/>
          <w:sz w:val="22"/>
          <w:szCs w:val="24"/>
          <w:lang w:val="en-US" w:eastAsia="zh-CN" w:bidi="ar-SA"/>
          <w14:ligatures w14:val="standardContextual"/>
        </w:rPr>
      </w:pPr>
      <w:r>
        <w:rPr>
          <w:rFonts w:ascii="Times New Roman" w:hAnsi="Times New Roman" w:eastAsia="宋体" w:cs="Times New Roman"/>
          <w:kern w:val="2"/>
          <w:sz w:val="22"/>
          <w:szCs w:val="24"/>
          <w:lang w:val="en-US" w:eastAsia="zh-CN" w:bidi="ar-SA"/>
          <w14:ligatures w14:val="standardContextual"/>
        </w:rPr>
        <w:t>培养箱湿度：70% - 80%</w:t>
      </w:r>
    </w:p>
    <w:p w14:paraId="04D1950D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  <w:kern w:val="2"/>
          <w:sz w:val="22"/>
          <w:szCs w:val="24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宋体" w:cs="Times New Roman"/>
          <w:kern w:val="2"/>
          <w:sz w:val="22"/>
          <w:szCs w:val="24"/>
          <w:lang w:val="en-US" w:eastAsia="zh-CN" w:bidi="ar-SA"/>
          <w14:ligatures w14:val="standardContextual"/>
        </w:rPr>
        <w:t>传代比例：1:2</w:t>
      </w:r>
    </w:p>
    <w:p w14:paraId="75F3027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  <w:kern w:val="2"/>
          <w:sz w:val="22"/>
          <w:szCs w:val="24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宋体" w:cs="Times New Roman"/>
          <w:kern w:val="2"/>
          <w:sz w:val="22"/>
          <w:szCs w:val="24"/>
          <w:lang w:val="en-US" w:eastAsia="zh-CN" w:bidi="ar-SA"/>
          <w14:ligatures w14:val="standardContextual"/>
        </w:rPr>
        <w:t>传代特性：可传3-5代，3代状态最佳</w:t>
      </w:r>
    </w:p>
    <w:p w14:paraId="774FB5D0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  <w:kern w:val="2"/>
          <w:sz w:val="22"/>
          <w:szCs w:val="24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宋体" w:cs="Times New Roman"/>
          <w:kern w:val="2"/>
          <w:sz w:val="22"/>
          <w:szCs w:val="24"/>
          <w:lang w:val="en-US" w:eastAsia="zh-CN" w:bidi="ar-SA"/>
          <w14:ligatures w14:val="standardContextual"/>
        </w:rPr>
        <w:t>换液频次：2-3次/周</w:t>
      </w:r>
    </w:p>
    <w:p w14:paraId="47FEDF34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细胞操作</w:t>
      </w:r>
    </w:p>
    <w:p w14:paraId="17C5A470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bookmarkStart w:id="0" w:name="_Hlk192672924"/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复苏</w:t>
      </w:r>
      <w:r>
        <w:rPr>
          <w:rFonts w:ascii="Times New Roman" w:hAnsi="Times New Roman" w:eastAsia="宋体" w:cs="Times New Roman"/>
        </w:rPr>
        <w:t>：</w:t>
      </w:r>
    </w:p>
    <w:bookmarkEnd w:id="0"/>
    <w:p w14:paraId="1442084C">
      <w:pPr>
        <w:pStyle w:val="31"/>
        <w:spacing w:after="120" w:line="360" w:lineRule="exact"/>
        <w:rPr>
          <w:rFonts w:hint="eastAsia" w:ascii="Times New Roman" w:hAnsi="Times New Roman" w:eastAsia="宋体" w:cs="Times New Roman"/>
          <w:kern w:val="2"/>
          <w:sz w:val="22"/>
          <w:szCs w:val="24"/>
          <w:lang w:val="en-US" w:eastAsia="zh-CN" w:bidi="ar-SA"/>
          <w14:ligatures w14:val="standardContextual"/>
        </w:rPr>
      </w:pPr>
      <w:bookmarkStart w:id="1" w:name="OLE_LINK6"/>
      <w:bookmarkStart w:id="2" w:name="_Hlk192673000"/>
      <w:r>
        <w:rPr>
          <w:rFonts w:hint="eastAsia" w:ascii="Times New Roman" w:hAnsi="Times New Roman" w:eastAsia="宋体" w:cs="Times New Roman"/>
          <w:kern w:val="2"/>
          <w:sz w:val="22"/>
          <w:szCs w:val="24"/>
          <w:lang w:val="en-US" w:eastAsia="zh-CN" w:bidi="ar-SA"/>
          <w14:ligatures w14:val="standardContextual"/>
        </w:rPr>
        <w:t xml:space="preserve">提前取出1支细胞洗涤液和1支细胞复苏液，放在37℃水浴锅中解冻。将细胞冻存管从液氮中取出，迅速置于 </w:t>
      </w:r>
      <w:bookmarkStart w:id="3" w:name="OLE_LINK2"/>
      <w:r>
        <w:rPr>
          <w:rFonts w:hint="eastAsia" w:ascii="Times New Roman" w:hAnsi="Times New Roman" w:eastAsia="宋体" w:cs="Times New Roman"/>
          <w:kern w:val="2"/>
          <w:sz w:val="22"/>
          <w:szCs w:val="24"/>
          <w:lang w:val="en-US" w:eastAsia="zh-CN" w:bidi="ar-SA"/>
          <w14:ligatures w14:val="standardContextual"/>
        </w:rPr>
        <w:t>37</w:t>
      </w:r>
      <w:bookmarkStart w:id="4" w:name="OLE_LINK7"/>
      <w:r>
        <w:rPr>
          <w:rFonts w:hint="eastAsia" w:ascii="Times New Roman" w:hAnsi="Times New Roman" w:eastAsia="宋体" w:cs="Times New Roman"/>
          <w:kern w:val="2"/>
          <w:sz w:val="22"/>
          <w:szCs w:val="24"/>
          <w:lang w:val="en-US" w:eastAsia="zh-CN" w:bidi="ar-SA"/>
          <w14:ligatures w14:val="standardContextual"/>
        </w:rPr>
        <w:t>℃</w:t>
      </w:r>
      <w:bookmarkEnd w:id="3"/>
      <w:bookmarkEnd w:id="4"/>
      <w:r>
        <w:rPr>
          <w:rFonts w:hint="eastAsia" w:ascii="Times New Roman" w:hAnsi="Times New Roman" w:eastAsia="宋体" w:cs="Times New Roman"/>
          <w:kern w:val="2"/>
          <w:sz w:val="22"/>
          <w:szCs w:val="24"/>
          <w:lang w:val="en-US" w:eastAsia="zh-CN" w:bidi="ar-SA"/>
          <w14:ligatures w14:val="standardContextual"/>
        </w:rPr>
        <w:t>水浴中解冻。解冻后立即将细胞悬液转移到睿必特TM洗涤液管中，轻轻混匀。将离心管置于水平离心机中，2000rpm 离心5分钟，弃去上清。再加入</w:t>
      </w:r>
      <w:bookmarkStart w:id="5" w:name="OLE_LINK4"/>
      <w:r>
        <w:rPr>
          <w:rFonts w:hint="eastAsia" w:ascii="Times New Roman" w:hAnsi="Times New Roman" w:eastAsia="宋体" w:cs="Times New Roman"/>
          <w:kern w:val="2"/>
          <w:sz w:val="22"/>
          <w:szCs w:val="24"/>
          <w:lang w:val="en-US" w:eastAsia="zh-CN" w:bidi="ar-SA"/>
          <w14:ligatures w14:val="standardContextual"/>
        </w:rPr>
        <w:t>5-6ml</w:t>
      </w:r>
      <w:bookmarkEnd w:id="5"/>
      <w:r>
        <w:rPr>
          <w:rFonts w:hint="eastAsia" w:ascii="Times New Roman" w:hAnsi="Times New Roman" w:eastAsia="宋体" w:cs="Times New Roman"/>
          <w:kern w:val="2"/>
          <w:sz w:val="22"/>
          <w:szCs w:val="24"/>
          <w:lang w:val="en-US" w:eastAsia="zh-CN" w:bidi="ar-SA"/>
          <w14:ligatures w14:val="standardContextual"/>
        </w:rPr>
        <w:t>睿必特TM复苏液，用滴管轻轻吹打成单细胞悬液，避免气泡。将细胞悬液转移至T25细胞培养瓶中，置于二氧化碳培养箱中培养。</w:t>
      </w:r>
    </w:p>
    <w:bookmarkEnd w:id="1"/>
    <w:p w14:paraId="44451A82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传代</w:t>
      </w:r>
      <w:r>
        <w:rPr>
          <w:rFonts w:ascii="Times New Roman" w:hAnsi="Times New Roman" w:eastAsia="宋体" w:cs="Times New Roman"/>
        </w:rPr>
        <w:t>：</w:t>
      </w:r>
    </w:p>
    <w:bookmarkEnd w:id="2"/>
    <w:p w14:paraId="2A16D155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bookmarkStart w:id="6" w:name="_Hlk192676731"/>
      <w:r>
        <w:rPr>
          <w:rFonts w:ascii="Times New Roman" w:hAnsi="Times New Roman" w:eastAsia="宋体" w:cs="Times New Roman"/>
          <w:sz w:val="21"/>
          <w:szCs w:val="21"/>
        </w:rPr>
        <w:t>1.当细胞</w:t>
      </w:r>
      <w:r>
        <w:rPr>
          <w:rFonts w:hint="eastAsia" w:ascii="Times New Roman" w:hAnsi="Times New Roman" w:eastAsia="宋体" w:cs="Times New Roman"/>
          <w:sz w:val="21"/>
          <w:szCs w:val="21"/>
        </w:rPr>
        <w:t>汇合度</w:t>
      </w:r>
      <w:r>
        <w:rPr>
          <w:rFonts w:ascii="Times New Roman" w:hAnsi="Times New Roman" w:eastAsia="宋体" w:cs="Times New Roman"/>
          <w:sz w:val="21"/>
          <w:szCs w:val="21"/>
        </w:rPr>
        <w:t>达 80</w:t>
      </w:r>
      <w:r>
        <w:rPr>
          <w:rFonts w:hint="eastAsia" w:ascii="Times New Roman" w:hAnsi="Times New Roman" w:eastAsia="宋体" w:cs="Times New Roman"/>
          <w:sz w:val="21"/>
          <w:szCs w:val="21"/>
        </w:rPr>
        <w:t>-90</w:t>
      </w:r>
      <w:r>
        <w:rPr>
          <w:rFonts w:ascii="Times New Roman" w:hAnsi="Times New Roman" w:eastAsia="宋体" w:cs="Times New Roman"/>
          <w:sz w:val="21"/>
          <w:szCs w:val="21"/>
        </w:rPr>
        <w:t>%，即可进行传代培养。</w:t>
      </w:r>
    </w:p>
    <w:p w14:paraId="48697721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2.弃去旧培养基，用不含钙、镁离子的 PBS 轻轻润洗细胞 1-2 次。</w:t>
      </w:r>
    </w:p>
    <w:p w14:paraId="110C113F">
      <w:pPr>
        <w:pStyle w:val="31"/>
        <w:spacing w:line="360" w:lineRule="exact"/>
        <w:jc w:val="both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3.加 1-2 mL消化液（0.25 % Trypsin-0.53 mM EDTA）于培养瓶中，常温或者37 </w:t>
      </w:r>
      <w:r>
        <w:rPr>
          <w:rFonts w:ascii="Times New Roman" w:hAnsi="Times New Roman" w:eastAsia="宋体" w:cs="Times New Roman"/>
        </w:rPr>
        <w:t>℃</w:t>
      </w:r>
      <w:r>
        <w:rPr>
          <w:rFonts w:ascii="Times New Roman" w:hAnsi="Times New Roman" w:eastAsia="宋体" w:cs="Times New Roman"/>
          <w:sz w:val="21"/>
          <w:szCs w:val="21"/>
        </w:rPr>
        <w:t xml:space="preserve">消化 </w:t>
      </w:r>
      <w:r>
        <w:rPr>
          <w:rFonts w:hint="eastAsia" w:ascii="Times New Roman" w:hAnsi="Times New Roman" w:eastAsia="宋体" w:cs="Times New Roman"/>
          <w:sz w:val="21"/>
          <w:szCs w:val="21"/>
        </w:rPr>
        <w:t>1</w:t>
      </w:r>
      <w:r>
        <w:rPr>
          <w:rFonts w:ascii="Times New Roman" w:hAnsi="Times New Roman" w:eastAsia="宋体" w:cs="Times New Roman"/>
          <w:sz w:val="21"/>
          <w:szCs w:val="21"/>
        </w:rPr>
        <w:t>-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 xml:space="preserve"> min，然后在显微镜下观察细胞消化情况，若细胞大部分变圆并脱落，迅速拿回操作台，加 5 ml 以上含 10%血清的完全培养基终止消化轻轻吹打细胞，完全脱落后吸出至离心管中，轻轻吹打成单细胞悬液，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000 rpm 离心5 min弃去上清液。</w:t>
      </w:r>
    </w:p>
    <w:p w14:paraId="16FE52B7">
      <w:pPr>
        <w:pStyle w:val="31"/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4.按 5-6 mL/瓶补加完全培养基，将细胞悬液按 1: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 xml:space="preserve"> 到 1:</w:t>
      </w:r>
      <w:r>
        <w:rPr>
          <w:rFonts w:hint="eastAsia" w:ascii="Times New Roman" w:hAnsi="Times New Roman" w:eastAsia="宋体" w:cs="Times New Roman"/>
          <w:sz w:val="21"/>
          <w:szCs w:val="21"/>
        </w:rPr>
        <w:t>4</w:t>
      </w:r>
      <w:r>
        <w:rPr>
          <w:rFonts w:ascii="Times New Roman" w:hAnsi="Times New Roman" w:eastAsia="宋体" w:cs="Times New Roman"/>
          <w:sz w:val="21"/>
          <w:szCs w:val="21"/>
        </w:rPr>
        <w:t>的比例分到新的含 5-6 mL 完全培养基的培养皿中或者培养瓶中。</w:t>
      </w:r>
    </w:p>
    <w:bookmarkEnd w:id="6"/>
    <w:p w14:paraId="35B7EC21"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注意事项</w:t>
      </w:r>
    </w:p>
    <w:p w14:paraId="1FBA1E12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所有动物细胞均视为有潜在的生物危害性，必须在二级生物安全台内操作，并请注意防护，所有废液及接触过此细胞的器皿需要灭菌后方能丢弃。</w:t>
      </w:r>
    </w:p>
    <w:p w14:paraId="42204B6A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建议在复苏冻存细胞时始终使用防护手套、衣服和戴上防护面罩。冻存管浸没在液氮中会泄漏，并会慢慢充满液氮。解冻时，液氮转化成气相可能导致容器爆炸或用危险力吹掉其盖子，从而产生飞扬的碎屑造成人员伤害。</w:t>
      </w:r>
    </w:p>
    <w:p w14:paraId="60758022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人脐静脉内皮细胞体外培养周期有限；建议使用专用生长培养基及正确的操作方法来培养，以此保证该细胞的最佳培养状态。</w:t>
      </w:r>
    </w:p>
    <w:p w14:paraId="62590B85">
      <w:pPr>
        <w:numPr>
          <w:ilvl w:val="0"/>
          <w:numId w:val="5"/>
        </w:numP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胰酶终止消化要用含10%血清的完全培养基（DMEM+10%FBS），原代内皮细胞培养体系不能用来终止消化，血清含量不到10%，就是1ml胰酶 然后加5 ml10%血清的完全培养基（DMEM+10%FBS）终止</w:t>
      </w:r>
    </w:p>
    <w:p w14:paraId="6BFA0828">
      <w:pPr>
        <w:numPr>
          <w:numId w:val="0"/>
        </w:numP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</w:pPr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47E04"/>
    <w:multiLevelType w:val="multilevel"/>
    <w:tmpl w:val="0ED47E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BF9479E"/>
    <w:multiLevelType w:val="multilevel"/>
    <w:tmpl w:val="1BF947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2767D00"/>
    <w:multiLevelType w:val="multilevel"/>
    <w:tmpl w:val="42767D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694A0181"/>
    <w:multiLevelType w:val="multilevel"/>
    <w:tmpl w:val="694A018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1901D6"/>
    <w:multiLevelType w:val="multilevel"/>
    <w:tmpl w:val="791901D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5YWVhNTU3OGIxMTUzZGViNDVhZThmOWUzZmMzM2MifQ=="/>
  </w:docVars>
  <w:rsids>
    <w:rsidRoot w:val="00725558"/>
    <w:rsid w:val="00044E82"/>
    <w:rsid w:val="000844E9"/>
    <w:rsid w:val="000C05DA"/>
    <w:rsid w:val="000E0439"/>
    <w:rsid w:val="00142CE0"/>
    <w:rsid w:val="00143C3C"/>
    <w:rsid w:val="001715BE"/>
    <w:rsid w:val="001F2C53"/>
    <w:rsid w:val="001F5D55"/>
    <w:rsid w:val="00207B2C"/>
    <w:rsid w:val="0025326A"/>
    <w:rsid w:val="00262BC9"/>
    <w:rsid w:val="00306C2A"/>
    <w:rsid w:val="00323A1B"/>
    <w:rsid w:val="0034646A"/>
    <w:rsid w:val="003A512D"/>
    <w:rsid w:val="003C4067"/>
    <w:rsid w:val="00413312"/>
    <w:rsid w:val="004B66D2"/>
    <w:rsid w:val="004F4BF0"/>
    <w:rsid w:val="00586FFF"/>
    <w:rsid w:val="0062740E"/>
    <w:rsid w:val="00643E1A"/>
    <w:rsid w:val="00666449"/>
    <w:rsid w:val="00674F78"/>
    <w:rsid w:val="006A338F"/>
    <w:rsid w:val="006D2FE8"/>
    <w:rsid w:val="006F6A37"/>
    <w:rsid w:val="00725558"/>
    <w:rsid w:val="0074375E"/>
    <w:rsid w:val="007B73C5"/>
    <w:rsid w:val="007C117A"/>
    <w:rsid w:val="00817CD2"/>
    <w:rsid w:val="00821DE4"/>
    <w:rsid w:val="008358B3"/>
    <w:rsid w:val="008635C9"/>
    <w:rsid w:val="008E369A"/>
    <w:rsid w:val="008E75A3"/>
    <w:rsid w:val="009062D7"/>
    <w:rsid w:val="00923BD6"/>
    <w:rsid w:val="009868EA"/>
    <w:rsid w:val="009A1E1E"/>
    <w:rsid w:val="009A6656"/>
    <w:rsid w:val="009D432A"/>
    <w:rsid w:val="00A135EE"/>
    <w:rsid w:val="00A14109"/>
    <w:rsid w:val="00AA7E46"/>
    <w:rsid w:val="00B00A53"/>
    <w:rsid w:val="00B0493D"/>
    <w:rsid w:val="00B72963"/>
    <w:rsid w:val="00B970CA"/>
    <w:rsid w:val="00BA3556"/>
    <w:rsid w:val="00BE5D9D"/>
    <w:rsid w:val="00C04311"/>
    <w:rsid w:val="00C51D64"/>
    <w:rsid w:val="00C90E37"/>
    <w:rsid w:val="00D95144"/>
    <w:rsid w:val="00DC6973"/>
    <w:rsid w:val="00DE7655"/>
    <w:rsid w:val="00E654DC"/>
    <w:rsid w:val="00E87EAB"/>
    <w:rsid w:val="00EA25A4"/>
    <w:rsid w:val="00F2582F"/>
    <w:rsid w:val="00F7626F"/>
    <w:rsid w:val="00FB78B4"/>
    <w:rsid w:val="027C74A2"/>
    <w:rsid w:val="0CD56D9C"/>
    <w:rsid w:val="2EEC5583"/>
    <w:rsid w:val="307D4FCA"/>
    <w:rsid w:val="43CA6ED4"/>
    <w:rsid w:val="53910475"/>
    <w:rsid w:val="6C92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明显参考1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8">
    <w:name w:val="未处理的提及1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1212</Words>
  <Characters>1366</Characters>
  <Lines>36</Lines>
  <Paragraphs>41</Paragraphs>
  <TotalTime>1</TotalTime>
  <ScaleCrop>false</ScaleCrop>
  <LinksUpToDate>false</LinksUpToDate>
  <CharactersWithSpaces>1404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2025-05-21T06:22:00Z</dcterms:created>
  <dc:creator>gengpeng1905@163.com</dc:creator>
  <cp:lastModifiedBy>王婷玉</cp:lastModifiedBy>
  <dcterms:modified xsi:type="dcterms:W3CDTF">2025-11-17T08:33:40Z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eyJoZGlkIjoiOTUyOTMxZGQ3MjFjYTc4OTBiM2YxZDI3ODcwYTljMTgiLCJ1c2VySWQiOiIxNjk3Mzg2MzgzIn0=</vt:lpwstr>
  </property>
  <property fmtid="{D5CDD505-2E9C-101B-9397-08002B2CF9AE}" pid="3" name="KSOProductBuildVer">
    <vt:lpwstr>2052-12.1.0.17468</vt:lpwstr>
  </property>
  <property fmtid="{D5CDD505-2E9C-101B-9397-08002B2CF9AE}" pid="4" name="ICV">
    <vt:lpwstr>2FB4B015EB89415EB0F6255220C67F5E_13</vt:lpwstr>
  </property>
</Properties>
</file>