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E62E23A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7" w:name="_GoBack"/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SNU-398</w:t>
      </w:r>
      <w:bookmarkEnd w:id="7"/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人肝癌细胞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说明书</w:t>
      </w:r>
    </w:p>
    <w:p w14:paraId="74FAD507">
      <w:pPr>
        <w:spacing w:after="120" w:line="360" w:lineRule="exact"/>
        <w:rPr>
          <w:rFonts w:ascii="Times New Roman" w:hAnsi="Times New Roman" w:eastAsia="宋体" w:cs="Times New Roman"/>
        </w:rPr>
      </w:pPr>
    </w:p>
    <w:p w14:paraId="0C4DC911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58E000C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default" w:ascii="Times New Roman" w:hAnsi="Times New Roman" w:eastAsia="宋体" w:cs="Times New Roman"/>
          <w:lang w:val="en-US" w:eastAsia="zh-CN"/>
        </w:rPr>
        <w:t>SNU-398（人肝癌细胞</w:t>
      </w:r>
      <w:r>
        <w:rPr>
          <w:rFonts w:hint="eastAsia" w:ascii="Times New Roman" w:hAnsi="Times New Roman" w:eastAsia="宋体" w:cs="Times New Roman"/>
          <w:lang w:val="en-US" w:eastAsia="zh-CN"/>
        </w:rPr>
        <w:t>）</w:t>
      </w:r>
      <w:r>
        <w:rPr>
          <w:rFonts w:ascii="Times New Roman" w:hAnsi="Times New Roman" w:eastAsia="宋体" w:cs="Times New Roman"/>
        </w:rPr>
        <w:t>(STR鉴定正确)</w:t>
      </w:r>
    </w:p>
    <w:p w14:paraId="52097414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SNU398; NCI-SNU-398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</w:t>
      </w:r>
      <w:r>
        <w:rPr>
          <w:rFonts w:ascii="Times New Roman" w:hAnsi="Times New Roman" w:eastAsia="宋体" w:cs="Times New Roman"/>
        </w:rPr>
        <w:t>样细胞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eastAsia" w:ascii="Times New Roman" w:hAnsi="Times New Roman" w:eastAsia="宋体" w:cs="Times New Roman"/>
          <w:lang w:val="en-US" w:eastAsia="zh-CN"/>
        </w:rPr>
        <w:t>多数贴壁少数悬浮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hint="eastAsia" w:ascii="Times New Roman" w:hAnsi="Times New Roman" w:eastAsia="宋体" w:cs="Times New Roman"/>
          <w:lang w:val="en-US" w:eastAsia="zh-CN"/>
        </w:rPr>
        <w:t>半贴壁半悬浮</w:t>
      </w:r>
    </w:p>
    <w:p w14:paraId="7B69BDE7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组织来源：肝细胞癌肿瘤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3487650D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t>RPMI-1640</w:t>
      </w:r>
      <w:r>
        <w:rPr>
          <w:rFonts w:ascii="Times New Roman" w:hAnsi="Times New Roman" w:eastAsia="宋体" w:cs="Times New Roman"/>
        </w:rPr>
        <w:t>＋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"https://www.procell.com.cn/view/5408.html" \t "_blank"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10</w:t>
      </w:r>
      <w:r>
        <w:rPr>
          <w:rFonts w:ascii="Times New Roman" w:hAnsi="Times New Roman" w:eastAsia="宋体" w:cs="Times New Roman"/>
        </w:rPr>
        <w:t>% FBS</w: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t>＋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"https://www.procell.com.cn/view/262.html" \t "_blank"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ascii="Times New Roman" w:hAnsi="Times New Roman" w:eastAsia="宋体" w:cs="Times New Roman"/>
        </w:rPr>
        <w:t>1% P/S</w:t>
      </w:r>
      <w:r>
        <w:rPr>
          <w:rFonts w:ascii="Times New Roman" w:hAnsi="Times New Roman" w:eastAsia="宋体" w:cs="Times New Roma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3-1:4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5524952"/>
    <w:rsid w:val="05DB36AB"/>
    <w:rsid w:val="0D4D7CE0"/>
    <w:rsid w:val="0DC82EAC"/>
    <w:rsid w:val="1CE96639"/>
    <w:rsid w:val="1ECB4595"/>
    <w:rsid w:val="209C508F"/>
    <w:rsid w:val="24D334FA"/>
    <w:rsid w:val="2EBF4557"/>
    <w:rsid w:val="34DF14AF"/>
    <w:rsid w:val="37387627"/>
    <w:rsid w:val="3DBD4357"/>
    <w:rsid w:val="3ED3094D"/>
    <w:rsid w:val="50897B2F"/>
    <w:rsid w:val="59BB12F3"/>
    <w:rsid w:val="60AB49A7"/>
    <w:rsid w:val="62F97A6F"/>
    <w:rsid w:val="642D54E3"/>
    <w:rsid w:val="66AB23FE"/>
    <w:rsid w:val="69FC1BE0"/>
    <w:rsid w:val="6C196368"/>
    <w:rsid w:val="6DFD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916</Words>
  <Characters>1115</Characters>
  <Lines>33</Lines>
  <Paragraphs>40</Paragraphs>
  <TotalTime>15</TotalTime>
  <ScaleCrop>false</ScaleCrop>
  <LinksUpToDate>false</LinksUpToDate>
  <CharactersWithSpaces>1155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2025-10-17T05:23:41Z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D9F29E4FFB2A47F09BE11AE1B1D34C16_13</vt:lpwstr>
  </property>
</Properties>
</file>