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 w:val="0"/>
          <w:bCs w:val="0"/>
          <w:sz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TM4 (正常小鼠睾丸Sertoli细胞)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细胞说明书</w:t>
      </w:r>
    </w:p>
    <w:p w14:paraId="072A4328">
      <w:pPr>
        <w:tabs>
          <w:tab w:val="left" w:pos="720"/>
        </w:tabs>
        <w:jc w:val="left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细胞背景：</w:t>
      </w:r>
    </w:p>
    <w:p w14:paraId="71209CAD">
      <w:pPr>
        <w:spacing w:after="120" w:line="360" w:lineRule="exac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TM4细胞在FSH的作用下cAMP产量增加，但对LH无反应；TM4细胞与原代Sertoli细胞相比，对FSH的反应性降低。据报道，TM4细胞组成性纤溶酶原激活物的产量很低，但可被FSH刺激产生，受维甲酸刺激可有大幅增高。TM4细胞可产生视黄醇结合蛋白、组织纤溶酶原激活物和转铁蛋白；TM4细胞表达FSH受体、雄激素受体和孕激素受体；鼠痘病毒阴性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79229E9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TM4 (正常小鼠睾丸Sertoli细胞) 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</w:rPr>
        <w:t>上皮样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</w:rPr>
        <w:t>。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231A3A1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</w:t>
      </w:r>
      <w:r>
        <w:rPr>
          <w:rFonts w:hint="eastAsia" w:ascii="Times New Roman" w:hAnsi="Times New Roman" w:eastAsia="宋体" w:cs="Times New Roman"/>
          <w:lang w:val="en-US" w:eastAsia="zh-CN"/>
        </w:rPr>
        <w:t>自发永生化细胞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>睾丸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51502E8F">
      <w:pPr>
        <w:numPr>
          <w:ilvl w:val="0"/>
          <w:numId w:val="3"/>
        </w:numPr>
        <w:spacing w:after="120" w:line="360" w:lineRule="exact"/>
        <w:rPr>
          <w:rFonts w:hint="eastAsia" w:ascii="宋体" w:hAnsi="宋体" w:eastAsia="宋体" w:cs="宋体"/>
          <w:color w:val="auto"/>
          <w:sz w:val="22"/>
          <w:szCs w:val="22"/>
          <w:u w:val="none"/>
        </w:rPr>
      </w:pPr>
      <w:r>
        <w:rPr>
          <w:rFonts w:ascii="Times New Roman" w:hAnsi="Times New Roman" w:eastAsia="宋体" w:cs="Times New Roman"/>
        </w:rPr>
        <w:t>培养基：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"https://www.procell.com.cn/view/1851.html" \t "https://www.procell.com.cn/view/_blank"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DMEM/F12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"https://www.procell.com.cn/view/2010.html" \t "https://www.procell.com.cn/view/_blank"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5% HS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"https://www.procell.com.cn/view/5408.html" \t "https://www.procell.com.cn/view/_blank"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2.5% FBS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instrText xml:space="preserve"> HYPERLINK "https://www.procell.com.cn/view/262.html" \t "https://www.procell.com.cn/view/_blank"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t>1% P/S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shd w:val="clear" w:fill="FFFFFF"/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bookmarkStart w:id="7" w:name="_GoBack"/>
      <w:r>
        <w:rPr>
          <w:rFonts w:ascii="Times New Roman" w:hAnsi="Times New Roman" w:eastAsia="宋体" w:cs="Times New Roman"/>
        </w:rPr>
        <w:t>气体环境：95%空气，5%CO₂。</w:t>
      </w:r>
    </w:p>
    <w:bookmarkEnd w:id="7"/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传代比例：1:3-1:</w:t>
      </w:r>
      <w:r>
        <w:rPr>
          <w:rFonts w:hint="eastAsia" w:ascii="Times New Roman" w:hAnsi="Times New Roman" w:eastAsia="宋体" w:cs="Times New Roman"/>
          <w:lang w:val="en-US" w:eastAsia="zh-CN"/>
        </w:rPr>
        <w:t>8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</w:t>
      </w:r>
      <w:r>
        <w:rPr>
          <w:rFonts w:hint="eastAsia" w:ascii="Times New Roman" w:hAnsi="Times New Roman" w:eastAsia="宋体" w:cs="Times New Roman"/>
          <w:sz w:val="21"/>
          <w:szCs w:val="21"/>
        </w:rPr>
        <w:t>-90</w:t>
      </w:r>
      <w:r>
        <w:rPr>
          <w:rFonts w:ascii="Times New Roman" w:hAnsi="Times New Roman" w:eastAsia="宋体" w:cs="Times New Roman"/>
          <w:sz w:val="21"/>
          <w:szCs w:val="21"/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到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8</w:t>
      </w:r>
      <w:r>
        <w:rPr>
          <w:rFonts w:ascii="Times New Roman" w:hAnsi="Times New Roman" w:eastAsia="宋体" w:cs="Times New Roman"/>
          <w:sz w:val="21"/>
          <w:szCs w:val="21"/>
        </w:rPr>
        <w:t>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56891D9F">
      <w:pPr>
        <w:numPr>
          <w:ilvl w:val="0"/>
          <w:numId w:val="5"/>
        </w:num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该细胞贴壁松散，操作时请尽量轻柔；换液时需预热培养基；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  <w:t>培养中出现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大块脱落的细胞团，为正常现象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  <w:lang w:eastAsia="zh-CN"/>
        </w:rPr>
        <w:t>。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CD56D9C"/>
    <w:rsid w:val="2EE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1004</Characters>
  <Lines>29</Lines>
  <Paragraphs>34</Paragraphs>
  <TotalTime>4</TotalTime>
  <ScaleCrop>false</ScaleCrop>
  <LinksUpToDate>false</LinksUpToDate>
  <CharactersWithSpaces>1046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2025-04-28T07:34:09Z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2052-12.1.0.20784</vt:lpwstr>
  </property>
  <property fmtid="{D5CDD505-2E9C-101B-9397-08002B2CF9AE}" pid="4" name="ICV">
    <vt:lpwstr>A6A0B20C128D49C5A2864640E7AB4750_13</vt:lpwstr>
  </property>
</Properties>
</file>