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65301809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lef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  </w:t>
      </w:r>
    </w:p>
    <w:p w14:paraId="729D8F8E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firstLine="1205" w:firstLineChars="5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7" w:name="_GoBack"/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B16-F10</w:t>
      </w:r>
      <w:bookmarkEnd w:id="7"/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（小鼠皮肤黑色素瘤细胞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细胞说明书</w:t>
      </w:r>
    </w:p>
    <w:p w14:paraId="69498706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细胞背景</w:t>
      </w:r>
    </w:p>
    <w:p w14:paraId="232D85F8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B16-F10细胞是B16-F0细胞的亚系。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细胞名称：B16-F10（小鼠皮肤黑色素瘤细胞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ascii="Times New Roman" w:hAnsi="Times New Roman" w:eastAsia="宋体" w:cs="Times New Roman"/>
        </w:rPr>
        <w:t>(STR鉴定正确)</w:t>
      </w:r>
    </w:p>
    <w:p w14:paraId="28E2BC20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</w:t>
      </w:r>
      <w:r>
        <w:rPr>
          <w:rFonts w:ascii="Times New Roman" w:hAnsi="Times New Roman" w:eastAsia="宋体" w:cs="Times New Roman"/>
        </w:rPr>
        <w:t>B16/F10;B16 F10;B16F10;B16 melanoma F10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小鼠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细胞样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50B2882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组织来源：皮肤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  <w:lang w:val="en-US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肿瘤类型：黑色素细胞瘤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212D986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"https://www.procell.com.cn/p/rpmi-1640-pm150110-71499" \t "https://www.procell.com.cn/p/_blank" </w:instrTex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RPMI-1640 </w:t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+10% FBS+1%P/S</w:t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27816FA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4-1:8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4-1:8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26AFC520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16系列细胞，使用DMEM培养时可能出现黑色素快速积累，细胞不增殖或死亡的情况，该细胞正常扩增冻存请使用RPMI-1640完培，若您需要进行分泌黑色素等后续相关实验，可以在扩增冻存细胞后更换为DMEM培养来满足实验设计。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3FF761E"/>
    <w:rsid w:val="05524952"/>
    <w:rsid w:val="05DB36AB"/>
    <w:rsid w:val="07F6399B"/>
    <w:rsid w:val="0CC872A8"/>
    <w:rsid w:val="0D4D7CE0"/>
    <w:rsid w:val="11BB73DB"/>
    <w:rsid w:val="12191EC2"/>
    <w:rsid w:val="154F0566"/>
    <w:rsid w:val="1DCF3C77"/>
    <w:rsid w:val="1ECB4595"/>
    <w:rsid w:val="20A774A8"/>
    <w:rsid w:val="21DA565B"/>
    <w:rsid w:val="281B645A"/>
    <w:rsid w:val="2EBF4557"/>
    <w:rsid w:val="34DF14AF"/>
    <w:rsid w:val="37387627"/>
    <w:rsid w:val="3DBD4357"/>
    <w:rsid w:val="3E7E7642"/>
    <w:rsid w:val="4EF53E96"/>
    <w:rsid w:val="50897B2F"/>
    <w:rsid w:val="50B618F8"/>
    <w:rsid w:val="571C57F3"/>
    <w:rsid w:val="583628E4"/>
    <w:rsid w:val="59BB12F3"/>
    <w:rsid w:val="60AB49A7"/>
    <w:rsid w:val="62F97A6F"/>
    <w:rsid w:val="642D54E3"/>
    <w:rsid w:val="65E40437"/>
    <w:rsid w:val="69FC1BE0"/>
    <w:rsid w:val="6B5A722E"/>
    <w:rsid w:val="6C196368"/>
    <w:rsid w:val="6F685621"/>
    <w:rsid w:val="7AA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6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2025-07-08T12:38:01Z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DAA25B4FADAC428A83584F7A009DCAF9_13</vt:lpwstr>
  </property>
</Properties>
</file>